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66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261"/>
        <w:gridCol w:w="1134"/>
        <w:gridCol w:w="708"/>
        <w:gridCol w:w="1276"/>
        <w:gridCol w:w="3544"/>
        <w:gridCol w:w="99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142" w:type="dxa"/>
            <w:gridSpan w:val="9"/>
            <w:vAlign w:val="center"/>
          </w:tcPr>
          <w:p>
            <w:pPr>
              <w:pStyle w:val="4"/>
              <w:shd w:val="clear" w:color="auto" w:fill="FFFFFF"/>
              <w:spacing w:line="500" w:lineRule="exact"/>
              <w:ind w:left="1380" w:leftChars="657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附件：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fldChar w:fldCharType="begin"/>
            </w:r>
            <w:r>
              <w:instrText xml:space="preserve"> HYPERLINK "http://www.zsrls.gov.cn/uploadfile/201512/20151216161959.xls"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舟山市事业单位面向全国“双一流”高校招聘优秀毕业生港航专场计划表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14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大连理工大学考点岗位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主管部门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 xml:space="preserve">招聘岗位    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学历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学位   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 xml:space="preserve">专业要求 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户籍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舟山市水运工程质量安全监督局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水运工程管理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港口、海岸及近海工程（本科必须为港口航道与海岸工程）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舟山市船舶检验处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船舶检验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轮机工程（本科必须为轮机工程）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需上船检验，适宜男性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舟山市港航管理局定海分局、普陀分局、金塘分局、六横分局、新城分局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港航管理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交通信息工程及控制（本科必须为航海技术、海事管理、交通运输、交通管理、物流管理）、交通运输规划与管理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舟山市港航管理局岱山分局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港航管理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交通信息工程及控制（本科必须为航海技术、海事管理、交通运输、交通管理、物流管理）、交通运输规划与管理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舟山市港航管理局嵊泗分局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港航管理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交通信息工程及控制（本科必须为航海技术、海事管理、交通运输、交通管理、物流管理）、交通运输规划与管理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42" w:type="dxa"/>
            <w:gridSpan w:val="9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中国石油大学（华东）考点岗位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主管部门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 xml:space="preserve">招聘岗位    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学历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学位   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 xml:space="preserve">专业要求 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户籍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舟山市港航管理局定海分局、普陀分局、金塘分局、六横分局、新城分局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港口危化管理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油气储运工程、安全科学与工程、安全工程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一线岗位，适宜男性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舟山市港航管理局岱山分局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港口危化管理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油气储运工程、安全科学与工程、安全工程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一线岗位，适宜男性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舟山市港航管理局嵊泗分局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港口危化管理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油气储运工程、安全科学与工程、安全工程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一线岗位，适宜男性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75C7"/>
    <w:rsid w:val="09C56F2A"/>
    <w:rsid w:val="1BB86631"/>
    <w:rsid w:val="1C2A5653"/>
    <w:rsid w:val="26800AB5"/>
    <w:rsid w:val="29A275C7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2018-03-29T00:57:00Z</dcterms:created>
  <dc:creator>NTKO</dc:creator>
  <cp:lastModifiedBy>NTKO</cp:lastModifiedBy>
  <dcterms:modified xsi:type="dcterms:W3CDTF">2018-03-29T01:10:52Z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